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7ACD6">
      <w:pPr>
        <w:snapToGrid w:val="0"/>
        <w:jc w:val="center"/>
        <w:rPr>
          <w:rFonts w:hint="eastAsia" w:ascii="黑体" w:hAnsi="黑体" w:eastAsia="黑体"/>
          <w:sz w:val="44"/>
          <w:szCs w:val="44"/>
        </w:rPr>
      </w:pPr>
      <w:r>
        <w:rPr>
          <w:rFonts w:hint="eastAsia" w:ascii="黑体" w:hAnsi="黑体" w:eastAsia="黑体"/>
          <w:sz w:val="44"/>
          <w:szCs w:val="44"/>
        </w:rPr>
        <w:t>证券信息技术研究发展中心（上海）</w:t>
      </w:r>
    </w:p>
    <w:p w14:paraId="4A076295">
      <w:pPr>
        <w:snapToGrid w:val="0"/>
        <w:jc w:val="center"/>
        <w:rPr>
          <w:rFonts w:ascii="黑体" w:hAnsi="黑体" w:eastAsia="黑体"/>
          <w:b/>
          <w:sz w:val="44"/>
          <w:szCs w:val="44"/>
        </w:rPr>
      </w:pPr>
      <w:r>
        <w:rPr>
          <w:rFonts w:hint="eastAsia" w:ascii="黑体" w:hAnsi="黑体" w:eastAsia="黑体"/>
          <w:sz w:val="44"/>
          <w:szCs w:val="44"/>
        </w:rPr>
        <w:t>202</w:t>
      </w:r>
      <w:r>
        <w:rPr>
          <w:rFonts w:hint="eastAsia" w:ascii="黑体" w:hAnsi="黑体" w:eastAsia="黑体"/>
          <w:sz w:val="44"/>
          <w:szCs w:val="44"/>
          <w:lang w:val="en-US" w:eastAsia="zh-CN"/>
        </w:rPr>
        <w:t>5年度行业共研</w:t>
      </w:r>
      <w:r>
        <w:rPr>
          <w:rFonts w:hint="eastAsia" w:ascii="黑体" w:hAnsi="黑体" w:eastAsia="黑体"/>
          <w:sz w:val="44"/>
          <w:szCs w:val="44"/>
        </w:rPr>
        <w:t>课题流程说明</w:t>
      </w:r>
    </w:p>
    <w:p w14:paraId="23718D20">
      <w:pPr>
        <w:rPr>
          <w:rFonts w:ascii="仿宋_GB2312" w:eastAsia="仿宋_GB2312"/>
          <w:sz w:val="30"/>
          <w:szCs w:val="30"/>
        </w:rPr>
      </w:pPr>
    </w:p>
    <w:p w14:paraId="1E84944D">
      <w:pPr>
        <w:ind w:firstLine="600" w:firstLineChars="200"/>
        <w:rPr>
          <w:rFonts w:ascii="黑体" w:hAnsi="黑体" w:eastAsia="黑体"/>
          <w:sz w:val="30"/>
          <w:szCs w:val="30"/>
        </w:rPr>
      </w:pPr>
      <w:r>
        <w:rPr>
          <w:rFonts w:hint="eastAsia" w:ascii="黑体" w:hAnsi="黑体" w:eastAsia="黑体"/>
          <w:sz w:val="30"/>
          <w:szCs w:val="30"/>
        </w:rPr>
        <w:t>一、课题研究目的</w:t>
      </w:r>
    </w:p>
    <w:p w14:paraId="19C237A0">
      <w:pPr>
        <w:ind w:firstLine="600" w:firstLineChars="200"/>
        <w:rPr>
          <w:rFonts w:ascii="仿宋_GB2312" w:eastAsia="仿宋_GB2312"/>
          <w:sz w:val="30"/>
          <w:szCs w:val="30"/>
        </w:rPr>
      </w:pPr>
      <w:r>
        <w:rPr>
          <w:rFonts w:hint="eastAsia" w:ascii="仿宋_GB2312" w:eastAsia="仿宋_GB2312"/>
          <w:sz w:val="30"/>
          <w:szCs w:val="30"/>
        </w:rPr>
        <w:t>证券信息技术研究发展中心（上海）2</w:t>
      </w:r>
      <w:r>
        <w:rPr>
          <w:rFonts w:ascii="仿宋_GB2312" w:eastAsia="仿宋_GB2312"/>
          <w:sz w:val="30"/>
          <w:szCs w:val="30"/>
        </w:rPr>
        <w:t>0</w:t>
      </w:r>
      <w:r>
        <w:rPr>
          <w:rFonts w:hint="eastAsia" w:ascii="仿宋_GB2312" w:eastAsia="仿宋_GB2312"/>
          <w:sz w:val="30"/>
          <w:szCs w:val="30"/>
        </w:rPr>
        <w:t>2</w:t>
      </w:r>
      <w:r>
        <w:rPr>
          <w:rFonts w:hint="eastAsia" w:ascii="仿宋_GB2312" w:eastAsia="仿宋_GB2312"/>
          <w:sz w:val="30"/>
          <w:szCs w:val="30"/>
          <w:lang w:val="en-US" w:eastAsia="zh-CN"/>
        </w:rPr>
        <w:t>5</w:t>
      </w:r>
      <w:r>
        <w:rPr>
          <w:rFonts w:hint="eastAsia" w:ascii="仿宋_GB2312" w:eastAsia="仿宋_GB2312"/>
          <w:sz w:val="30"/>
          <w:szCs w:val="30"/>
        </w:rPr>
        <w:t>年计划组织开展行业共研课题，主要面向证券行业市场参与者，以服务行业为目标，鼓励行业机构积极参与，开展课题研究与交流互动，探索热点技术在实际工作场景中的实践与应用。</w:t>
      </w:r>
    </w:p>
    <w:p w14:paraId="5266439E">
      <w:pPr>
        <w:ind w:firstLine="600" w:firstLineChars="200"/>
        <w:rPr>
          <w:rFonts w:ascii="黑体" w:hAnsi="黑体" w:eastAsia="黑体"/>
          <w:sz w:val="30"/>
          <w:szCs w:val="30"/>
        </w:rPr>
      </w:pPr>
      <w:r>
        <w:rPr>
          <w:rFonts w:hint="eastAsia" w:ascii="黑体" w:hAnsi="黑体" w:eastAsia="黑体"/>
          <w:sz w:val="30"/>
          <w:szCs w:val="30"/>
        </w:rPr>
        <w:t>二、课题开展流程</w:t>
      </w:r>
    </w:p>
    <w:p w14:paraId="7388D07A">
      <w:pPr>
        <w:ind w:firstLine="600" w:firstLineChars="200"/>
        <w:rPr>
          <w:rFonts w:ascii="仿宋_GB2312" w:eastAsia="仿宋_GB2312"/>
          <w:sz w:val="30"/>
          <w:szCs w:val="30"/>
        </w:rPr>
      </w:pPr>
      <w:r>
        <w:rPr>
          <w:rFonts w:hint="eastAsia" w:ascii="仿宋_GB2312" w:eastAsia="仿宋_GB2312"/>
          <w:sz w:val="30"/>
          <w:szCs w:val="30"/>
        </w:rPr>
        <w:t>课题开展流程基本分为</w:t>
      </w:r>
      <w:r>
        <w:rPr>
          <w:rFonts w:hint="eastAsia" w:ascii="仿宋_GB2312" w:eastAsia="仿宋_GB2312"/>
          <w:sz w:val="30"/>
          <w:szCs w:val="30"/>
          <w:lang w:val="en-US" w:eastAsia="zh-CN"/>
        </w:rPr>
        <w:t>4</w:t>
      </w:r>
      <w:r>
        <w:rPr>
          <w:rFonts w:hint="eastAsia" w:ascii="仿宋_GB2312" w:eastAsia="仿宋_GB2312"/>
          <w:sz w:val="30"/>
          <w:szCs w:val="30"/>
        </w:rPr>
        <w:t>个环节，分别为课题申报、课题立项、课题实施</w:t>
      </w:r>
      <w:r>
        <w:rPr>
          <w:rFonts w:hint="eastAsia" w:ascii="仿宋_GB2312" w:eastAsia="仿宋_GB2312"/>
          <w:sz w:val="30"/>
          <w:szCs w:val="30"/>
          <w:lang w:eastAsia="zh-CN"/>
        </w:rPr>
        <w:t>以及</w:t>
      </w:r>
      <w:r>
        <w:rPr>
          <w:rFonts w:hint="eastAsia" w:ascii="仿宋_GB2312" w:eastAsia="仿宋_GB2312"/>
          <w:sz w:val="30"/>
          <w:szCs w:val="30"/>
        </w:rPr>
        <w:t>课题结题。</w:t>
      </w:r>
    </w:p>
    <w:p w14:paraId="32D8AC63">
      <w:pPr>
        <w:ind w:firstLine="601" w:firstLineChars="200"/>
        <w:rPr>
          <w:rFonts w:ascii="仿宋_GB2312" w:eastAsia="仿宋_GB2312"/>
          <w:b/>
          <w:sz w:val="30"/>
          <w:szCs w:val="30"/>
        </w:rPr>
      </w:pPr>
      <w:r>
        <w:rPr>
          <w:rFonts w:hint="eastAsia" w:ascii="仿宋_GB2312" w:eastAsia="仿宋_GB2312"/>
          <w:b/>
          <w:sz w:val="30"/>
          <w:szCs w:val="30"/>
        </w:rPr>
        <w:t>（一）课题申报</w:t>
      </w:r>
    </w:p>
    <w:p w14:paraId="6EB055C3">
      <w:pPr>
        <w:ind w:firstLine="600" w:firstLineChars="200"/>
        <w:rPr>
          <w:rFonts w:ascii="仿宋_GB2312" w:eastAsia="仿宋_GB2312"/>
          <w:sz w:val="30"/>
          <w:szCs w:val="30"/>
        </w:rPr>
      </w:pPr>
      <w:r>
        <w:rPr>
          <w:rFonts w:hint="eastAsia" w:ascii="仿宋_GB2312" w:eastAsia="仿宋_GB2312"/>
          <w:sz w:val="30"/>
          <w:szCs w:val="30"/>
        </w:rPr>
        <w:t>研究中心每年在行业范围内公开征集课题研究意向，申请机构可填写《课题申报书》。课题申请范围包含但不限于给出的选题参考范围，即申请方亦可结合当前行业热点及实际研究需要申报给定选题之外的主题。</w:t>
      </w:r>
    </w:p>
    <w:p w14:paraId="7A88661D">
      <w:pPr>
        <w:ind w:firstLine="601" w:firstLineChars="200"/>
        <w:rPr>
          <w:rFonts w:ascii="仿宋_GB2312" w:eastAsia="仿宋_GB2312"/>
          <w:b/>
          <w:sz w:val="30"/>
          <w:szCs w:val="30"/>
        </w:rPr>
      </w:pPr>
      <w:r>
        <w:rPr>
          <w:rFonts w:hint="eastAsia" w:ascii="仿宋_GB2312" w:eastAsia="仿宋_GB2312"/>
          <w:b/>
          <w:sz w:val="30"/>
          <w:szCs w:val="30"/>
        </w:rPr>
        <w:t>（二）课题立项</w:t>
      </w:r>
    </w:p>
    <w:p w14:paraId="17C97437">
      <w:pPr>
        <w:ind w:firstLine="600" w:firstLineChars="200"/>
        <w:rPr>
          <w:rFonts w:ascii="仿宋_GB2312" w:eastAsia="仿宋_GB2312"/>
          <w:sz w:val="30"/>
          <w:szCs w:val="30"/>
        </w:rPr>
      </w:pPr>
      <w:r>
        <w:rPr>
          <w:rFonts w:hint="eastAsia" w:ascii="仿宋_GB2312" w:eastAsia="仿宋_GB2312"/>
          <w:sz w:val="30"/>
          <w:szCs w:val="30"/>
        </w:rPr>
        <w:t>研究中心收到课题申请后，将牵头组织对课题申请进行初筛。通过初筛的课题申请，研究中心将组织专家开展课题评审。通过评审的课题作为年度计划课题开展，并</w:t>
      </w:r>
      <w:r>
        <w:rPr>
          <w:rFonts w:hint="eastAsia" w:ascii="仿宋_GB2312" w:eastAsia="仿宋_GB2312"/>
          <w:sz w:val="30"/>
          <w:szCs w:val="30"/>
          <w:lang w:val="en-US" w:eastAsia="zh-CN"/>
        </w:rPr>
        <w:t>按需</w:t>
      </w:r>
      <w:r>
        <w:rPr>
          <w:rFonts w:hint="eastAsia" w:ascii="仿宋_GB2312" w:eastAsia="仿宋_GB2312"/>
          <w:sz w:val="30"/>
          <w:szCs w:val="30"/>
        </w:rPr>
        <w:t>与研究中心签署课题合作协议。</w:t>
      </w:r>
    </w:p>
    <w:p w14:paraId="08EC75F2">
      <w:pPr>
        <w:ind w:firstLine="601" w:firstLineChars="200"/>
        <w:rPr>
          <w:rFonts w:ascii="仿宋_GB2312" w:eastAsia="仿宋_GB2312"/>
          <w:b/>
          <w:sz w:val="30"/>
          <w:szCs w:val="30"/>
        </w:rPr>
      </w:pPr>
      <w:r>
        <w:rPr>
          <w:rFonts w:hint="eastAsia" w:ascii="仿宋_GB2312" w:eastAsia="仿宋_GB2312"/>
          <w:b/>
          <w:sz w:val="30"/>
          <w:szCs w:val="30"/>
        </w:rPr>
        <w:t>（三）课题实施</w:t>
      </w:r>
    </w:p>
    <w:p w14:paraId="36FC0301">
      <w:pPr>
        <w:ind w:firstLine="600" w:firstLineChars="200"/>
        <w:rPr>
          <w:rFonts w:ascii="仿宋_GB2312" w:eastAsia="仿宋_GB2312"/>
          <w:sz w:val="30"/>
          <w:szCs w:val="30"/>
        </w:rPr>
      </w:pPr>
      <w:r>
        <w:rPr>
          <w:rFonts w:hint="eastAsia" w:ascii="仿宋_GB2312" w:eastAsia="仿宋_GB2312"/>
          <w:sz w:val="30"/>
          <w:szCs w:val="30"/>
        </w:rPr>
        <w:t>正式立项后，研究中心将视情况组织开展课题开题汇报，并定期跟踪课题进展情况。课题在实施过程中可不定期组织主题分享与交流。</w:t>
      </w:r>
    </w:p>
    <w:p w14:paraId="7993408B">
      <w:pPr>
        <w:ind w:firstLine="601" w:firstLineChars="200"/>
        <w:rPr>
          <w:rFonts w:ascii="仿宋_GB2312" w:eastAsia="仿宋_GB2312"/>
          <w:b/>
          <w:sz w:val="30"/>
          <w:szCs w:val="30"/>
        </w:rPr>
      </w:pPr>
      <w:r>
        <w:rPr>
          <w:rFonts w:hint="eastAsia" w:ascii="仿宋_GB2312" w:eastAsia="仿宋_GB2312"/>
          <w:b/>
          <w:sz w:val="30"/>
          <w:szCs w:val="30"/>
        </w:rPr>
        <w:t>（四）课题结题</w:t>
      </w:r>
    </w:p>
    <w:p w14:paraId="2867613A">
      <w:pPr>
        <w:ind w:firstLine="600" w:firstLineChars="200"/>
        <w:rPr>
          <w:rFonts w:ascii="仿宋_GB2312" w:eastAsia="仿宋_GB2312"/>
          <w:sz w:val="30"/>
          <w:szCs w:val="30"/>
        </w:rPr>
      </w:pPr>
      <w:r>
        <w:rPr>
          <w:rFonts w:hint="eastAsia" w:ascii="仿宋_GB2312" w:eastAsia="仿宋_GB2312"/>
          <w:sz w:val="30"/>
          <w:szCs w:val="30"/>
        </w:rPr>
        <w:t>课题应按照协议约定时间向研究中心提交完整课题成果。研究中心负责组织专家开展结题评审。结题评审遵循客观、公正、独立、保密的原则进行。研究中心可视具体情况组织现场评审或线上评审。</w:t>
      </w:r>
    </w:p>
    <w:p w14:paraId="62C5EDA7">
      <w:pPr>
        <w:ind w:firstLine="600" w:firstLineChars="200"/>
        <w:rPr>
          <w:rFonts w:ascii="仿宋_GB2312" w:eastAsia="仿宋_GB2312"/>
          <w:b/>
          <w:sz w:val="30"/>
          <w:szCs w:val="30"/>
        </w:rPr>
      </w:pPr>
      <w:r>
        <w:rPr>
          <w:rFonts w:hint="eastAsia" w:ascii="仿宋_GB2312" w:eastAsia="仿宋_GB2312"/>
          <w:sz w:val="30"/>
          <w:szCs w:val="30"/>
        </w:rPr>
        <w:t>对于结题通过的课题，研究中心将向课题颁布《结题证书》。未能通过结题的课题，可在一个月内对成果进行修改完善，重新申请结题评审，评审仍不能通过的，按课题撤销处理。</w:t>
      </w:r>
    </w:p>
    <w:p w14:paraId="4C354F93">
      <w:pPr>
        <w:ind w:firstLine="600" w:firstLineChars="200"/>
        <w:rPr>
          <w:rFonts w:hint="eastAsia" w:ascii="仿宋_GB2312" w:eastAsia="仿宋_GB2312"/>
          <w:sz w:val="30"/>
          <w:szCs w:val="30"/>
        </w:rPr>
      </w:pPr>
      <w:r>
        <w:rPr>
          <w:rFonts w:hint="eastAsia" w:ascii="仿宋_GB2312" w:eastAsia="仿宋_GB2312"/>
          <w:sz w:val="30"/>
          <w:szCs w:val="30"/>
        </w:rPr>
        <w:t>研究中心将组织评选优秀课题，课题研究成果在尊重知识产权所有人权利的基础上进行发布，形式包括收录课题成果集、推荐相关杂志发表、公众号发布、举行研讨扩大研究成果影响力等。</w:t>
      </w:r>
    </w:p>
    <w:p w14:paraId="4088167E">
      <w:pPr>
        <w:ind w:firstLine="600" w:firstLineChars="200"/>
        <w:rPr>
          <w:rFonts w:hint="eastAsia" w:ascii="仿宋_GB2312" w:eastAsia="仿宋_GB2312"/>
          <w:sz w:val="30"/>
          <w:szCs w:val="30"/>
        </w:rPr>
      </w:pPr>
    </w:p>
    <w:p w14:paraId="53F53B7D">
      <w:pPr>
        <w:ind w:firstLine="600" w:firstLineChars="200"/>
        <w:rPr>
          <w:rFonts w:ascii="仿宋_GB2312" w:eastAsia="仿宋_GB2312"/>
          <w:sz w:val="30"/>
          <w:szCs w:val="30"/>
        </w:rPr>
      </w:pPr>
      <w:r>
        <w:rPr>
          <w:rFonts w:hint="eastAsia" w:ascii="仿宋_GB2312" w:eastAsia="仿宋_GB2312"/>
          <w:sz w:val="30"/>
          <w:szCs w:val="30"/>
        </w:rPr>
        <w:t>课题执行流程的计划时间表如下，供参考：</w:t>
      </w:r>
    </w:p>
    <w:tbl>
      <w:tblPr>
        <w:tblStyle w:val="4"/>
        <w:tblW w:w="7480" w:type="dxa"/>
        <w:jc w:val="center"/>
        <w:tblLayout w:type="autofit"/>
        <w:tblCellMar>
          <w:top w:w="0" w:type="dxa"/>
          <w:left w:w="108" w:type="dxa"/>
          <w:bottom w:w="0" w:type="dxa"/>
          <w:right w:w="108" w:type="dxa"/>
        </w:tblCellMar>
      </w:tblPr>
      <w:tblGrid>
        <w:gridCol w:w="764"/>
        <w:gridCol w:w="1236"/>
        <w:gridCol w:w="3580"/>
        <w:gridCol w:w="1900"/>
      </w:tblGrid>
      <w:tr w14:paraId="2666ED13">
        <w:tblPrEx>
          <w:tblCellMar>
            <w:top w:w="0" w:type="dxa"/>
            <w:left w:w="108" w:type="dxa"/>
            <w:bottom w:w="0" w:type="dxa"/>
            <w:right w:w="108" w:type="dxa"/>
          </w:tblCellMar>
        </w:tblPrEx>
        <w:trPr>
          <w:trHeight w:val="390"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41E5B12">
            <w:pPr>
              <w:widowControl/>
              <w:spacing w:line="360" w:lineRule="auto"/>
              <w:jc w:val="center"/>
              <w:rPr>
                <w:rFonts w:ascii="仿宋_GB2312" w:hAnsi="仿宋" w:eastAsia="仿宋_GB2312" w:cs="宋体"/>
                <w:b/>
                <w:bCs/>
                <w:kern w:val="0"/>
                <w:sz w:val="22"/>
              </w:rPr>
            </w:pPr>
            <w:r>
              <w:rPr>
                <w:rFonts w:hint="eastAsia" w:ascii="仿宋_GB2312" w:hAnsi="仿宋" w:eastAsia="仿宋_GB2312" w:cs="宋体"/>
                <w:b/>
                <w:bCs/>
                <w:kern w:val="0"/>
                <w:sz w:val="22"/>
              </w:rPr>
              <w:t>序号</w:t>
            </w:r>
          </w:p>
        </w:tc>
        <w:tc>
          <w:tcPr>
            <w:tcW w:w="1236" w:type="dxa"/>
            <w:tcBorders>
              <w:top w:val="single" w:color="auto" w:sz="4" w:space="0"/>
              <w:left w:val="nil"/>
              <w:bottom w:val="single" w:color="auto" w:sz="4" w:space="0"/>
              <w:right w:val="single" w:color="auto" w:sz="4" w:space="0"/>
            </w:tcBorders>
            <w:shd w:val="clear" w:color="auto" w:fill="auto"/>
            <w:vAlign w:val="center"/>
          </w:tcPr>
          <w:p w14:paraId="4BA6F5DF">
            <w:pPr>
              <w:widowControl/>
              <w:spacing w:line="360" w:lineRule="auto"/>
              <w:jc w:val="center"/>
              <w:rPr>
                <w:rFonts w:ascii="仿宋_GB2312" w:hAnsi="仿宋" w:eastAsia="仿宋_GB2312" w:cs="宋体"/>
                <w:b/>
                <w:bCs/>
                <w:kern w:val="0"/>
                <w:sz w:val="22"/>
              </w:rPr>
            </w:pPr>
            <w:r>
              <w:rPr>
                <w:rFonts w:hint="eastAsia" w:ascii="仿宋_GB2312" w:hAnsi="仿宋" w:eastAsia="仿宋_GB2312" w:cs="宋体"/>
                <w:b/>
                <w:bCs/>
                <w:kern w:val="0"/>
                <w:sz w:val="22"/>
              </w:rPr>
              <w:t>进展阶段</w:t>
            </w:r>
          </w:p>
        </w:tc>
        <w:tc>
          <w:tcPr>
            <w:tcW w:w="3580" w:type="dxa"/>
            <w:tcBorders>
              <w:top w:val="single" w:color="auto" w:sz="4" w:space="0"/>
              <w:left w:val="nil"/>
              <w:bottom w:val="single" w:color="auto" w:sz="4" w:space="0"/>
              <w:right w:val="single" w:color="auto" w:sz="4" w:space="0"/>
            </w:tcBorders>
            <w:shd w:val="clear" w:color="auto" w:fill="auto"/>
            <w:vAlign w:val="center"/>
          </w:tcPr>
          <w:p w14:paraId="49256D61">
            <w:pPr>
              <w:widowControl/>
              <w:spacing w:line="360" w:lineRule="auto"/>
              <w:jc w:val="center"/>
              <w:rPr>
                <w:rFonts w:ascii="仿宋_GB2312" w:hAnsi="仿宋" w:eastAsia="仿宋_GB2312" w:cs="宋体"/>
                <w:b/>
                <w:bCs/>
                <w:kern w:val="0"/>
                <w:sz w:val="22"/>
              </w:rPr>
            </w:pPr>
            <w:r>
              <w:rPr>
                <w:rFonts w:hint="eastAsia" w:ascii="仿宋_GB2312" w:hAnsi="仿宋" w:eastAsia="仿宋_GB2312" w:cs="宋体"/>
                <w:b/>
                <w:bCs/>
                <w:kern w:val="0"/>
                <w:sz w:val="22"/>
              </w:rPr>
              <w:t>主要流程节点</w:t>
            </w:r>
          </w:p>
        </w:tc>
        <w:tc>
          <w:tcPr>
            <w:tcW w:w="1900" w:type="dxa"/>
            <w:tcBorders>
              <w:top w:val="single" w:color="auto" w:sz="4" w:space="0"/>
              <w:left w:val="nil"/>
              <w:bottom w:val="single" w:color="auto" w:sz="4" w:space="0"/>
              <w:right w:val="single" w:color="auto" w:sz="4" w:space="0"/>
            </w:tcBorders>
            <w:shd w:val="clear" w:color="auto" w:fill="auto"/>
            <w:vAlign w:val="center"/>
          </w:tcPr>
          <w:p w14:paraId="5D8903BB">
            <w:pPr>
              <w:widowControl/>
              <w:spacing w:line="360" w:lineRule="auto"/>
              <w:jc w:val="center"/>
              <w:rPr>
                <w:rFonts w:ascii="仿宋_GB2312" w:hAnsi="仿宋" w:eastAsia="仿宋_GB2312" w:cs="宋体"/>
                <w:b/>
                <w:bCs/>
                <w:kern w:val="0"/>
                <w:sz w:val="22"/>
              </w:rPr>
            </w:pPr>
            <w:r>
              <w:rPr>
                <w:rFonts w:hint="eastAsia" w:ascii="仿宋_GB2312" w:hAnsi="仿宋" w:eastAsia="仿宋_GB2312" w:cs="宋体"/>
                <w:b/>
                <w:bCs/>
                <w:kern w:val="0"/>
                <w:sz w:val="22"/>
              </w:rPr>
              <w:t>时间计划</w:t>
            </w:r>
          </w:p>
        </w:tc>
      </w:tr>
      <w:tr w14:paraId="48D8C0F2">
        <w:tblPrEx>
          <w:tblCellMar>
            <w:top w:w="0" w:type="dxa"/>
            <w:left w:w="108" w:type="dxa"/>
            <w:bottom w:w="0" w:type="dxa"/>
            <w:right w:w="108" w:type="dxa"/>
          </w:tblCellMar>
        </w:tblPrEx>
        <w:trPr>
          <w:trHeight w:val="270" w:hRule="atLeast"/>
          <w:jc w:val="center"/>
        </w:trPr>
        <w:tc>
          <w:tcPr>
            <w:tcW w:w="764" w:type="dxa"/>
            <w:vMerge w:val="restart"/>
            <w:tcBorders>
              <w:top w:val="nil"/>
              <w:left w:val="single" w:color="auto" w:sz="4" w:space="0"/>
              <w:bottom w:val="single" w:color="000000" w:sz="4" w:space="0"/>
              <w:right w:val="single" w:color="auto" w:sz="4" w:space="0"/>
            </w:tcBorders>
            <w:shd w:val="clear" w:color="auto" w:fill="auto"/>
            <w:vAlign w:val="center"/>
          </w:tcPr>
          <w:p w14:paraId="685B9015">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1</w:t>
            </w:r>
          </w:p>
        </w:tc>
        <w:tc>
          <w:tcPr>
            <w:tcW w:w="1236" w:type="dxa"/>
            <w:vMerge w:val="restart"/>
            <w:tcBorders>
              <w:top w:val="nil"/>
              <w:left w:val="single" w:color="auto" w:sz="4" w:space="0"/>
              <w:bottom w:val="single" w:color="auto" w:sz="4" w:space="0"/>
              <w:right w:val="single" w:color="auto" w:sz="4" w:space="0"/>
            </w:tcBorders>
            <w:shd w:val="clear" w:color="auto" w:fill="auto"/>
            <w:vAlign w:val="center"/>
          </w:tcPr>
          <w:p w14:paraId="26F7E4E8">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课题申报</w:t>
            </w:r>
          </w:p>
        </w:tc>
        <w:tc>
          <w:tcPr>
            <w:tcW w:w="3580" w:type="dxa"/>
            <w:tcBorders>
              <w:top w:val="nil"/>
              <w:left w:val="nil"/>
              <w:bottom w:val="single" w:color="auto" w:sz="4" w:space="0"/>
              <w:right w:val="single" w:color="auto" w:sz="4" w:space="0"/>
            </w:tcBorders>
            <w:shd w:val="clear" w:color="auto" w:fill="auto"/>
            <w:vAlign w:val="center"/>
          </w:tcPr>
          <w:p w14:paraId="50B291FB">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发布课题征集通知</w:t>
            </w:r>
          </w:p>
        </w:tc>
        <w:tc>
          <w:tcPr>
            <w:tcW w:w="1900" w:type="dxa"/>
            <w:vMerge w:val="restart"/>
            <w:tcBorders>
              <w:top w:val="nil"/>
              <w:left w:val="nil"/>
              <w:right w:val="single" w:color="auto" w:sz="4" w:space="0"/>
            </w:tcBorders>
            <w:shd w:val="clear" w:color="auto" w:fill="auto"/>
            <w:vAlign w:val="center"/>
          </w:tcPr>
          <w:p w14:paraId="0A595907">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202</w:t>
            </w:r>
            <w:r>
              <w:rPr>
                <w:rFonts w:hint="eastAsia" w:ascii="仿宋_GB2312" w:hAnsi="仿宋" w:eastAsia="仿宋_GB2312" w:cs="宋体"/>
                <w:kern w:val="0"/>
                <w:sz w:val="22"/>
                <w:lang w:val="en-US" w:eastAsia="zh-CN"/>
              </w:rPr>
              <w:t>5</w:t>
            </w:r>
            <w:r>
              <w:rPr>
                <w:rFonts w:hint="eastAsia" w:ascii="仿宋_GB2312" w:hAnsi="仿宋" w:eastAsia="仿宋_GB2312" w:cs="宋体"/>
                <w:kern w:val="0"/>
                <w:sz w:val="22"/>
              </w:rPr>
              <w:t>年</w:t>
            </w:r>
            <w:r>
              <w:rPr>
                <w:rFonts w:hint="eastAsia" w:ascii="仿宋_GB2312" w:hAnsi="仿宋" w:eastAsia="仿宋_GB2312" w:cs="宋体"/>
                <w:kern w:val="0"/>
                <w:sz w:val="22"/>
                <w:lang w:val="en-US" w:eastAsia="zh-CN"/>
              </w:rPr>
              <w:t>8</w:t>
            </w:r>
            <w:r>
              <w:rPr>
                <w:rFonts w:hint="eastAsia" w:ascii="仿宋_GB2312" w:hAnsi="仿宋" w:eastAsia="仿宋_GB2312" w:cs="宋体"/>
                <w:kern w:val="0"/>
                <w:sz w:val="22"/>
              </w:rPr>
              <w:t>月</w:t>
            </w:r>
          </w:p>
        </w:tc>
      </w:tr>
      <w:tr w14:paraId="2564B2F3">
        <w:tblPrEx>
          <w:tblCellMar>
            <w:top w:w="0" w:type="dxa"/>
            <w:left w:w="108" w:type="dxa"/>
            <w:bottom w:w="0" w:type="dxa"/>
            <w:right w:w="108" w:type="dxa"/>
          </w:tblCellMar>
        </w:tblPrEx>
        <w:trPr>
          <w:trHeight w:val="27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14:paraId="79B141CE">
            <w:pPr>
              <w:widowControl/>
              <w:spacing w:line="360" w:lineRule="auto"/>
              <w:jc w:val="left"/>
              <w:rPr>
                <w:rFonts w:ascii="仿宋_GB2312" w:hAnsi="仿宋" w:eastAsia="仿宋_GB2312" w:cs="宋体"/>
                <w:kern w:val="0"/>
                <w:sz w:val="22"/>
              </w:rPr>
            </w:pPr>
          </w:p>
        </w:tc>
        <w:tc>
          <w:tcPr>
            <w:tcW w:w="1236" w:type="dxa"/>
            <w:vMerge w:val="continue"/>
            <w:tcBorders>
              <w:top w:val="nil"/>
              <w:left w:val="single" w:color="auto" w:sz="4" w:space="0"/>
              <w:bottom w:val="single" w:color="auto" w:sz="4" w:space="0"/>
              <w:right w:val="single" w:color="auto" w:sz="4" w:space="0"/>
            </w:tcBorders>
            <w:vAlign w:val="center"/>
          </w:tcPr>
          <w:p w14:paraId="639FE7FB">
            <w:pPr>
              <w:widowControl/>
              <w:spacing w:line="360" w:lineRule="auto"/>
              <w:jc w:val="left"/>
              <w:rPr>
                <w:rFonts w:ascii="仿宋_GB2312" w:hAnsi="仿宋" w:eastAsia="仿宋_GB2312" w:cs="宋体"/>
                <w:kern w:val="0"/>
                <w:sz w:val="22"/>
              </w:rPr>
            </w:pPr>
          </w:p>
        </w:tc>
        <w:tc>
          <w:tcPr>
            <w:tcW w:w="3580" w:type="dxa"/>
            <w:tcBorders>
              <w:top w:val="nil"/>
              <w:left w:val="nil"/>
              <w:bottom w:val="single" w:color="auto" w:sz="4" w:space="0"/>
              <w:right w:val="single" w:color="auto" w:sz="4" w:space="0"/>
            </w:tcBorders>
            <w:shd w:val="clear" w:color="auto" w:fill="auto"/>
            <w:vAlign w:val="center"/>
          </w:tcPr>
          <w:p w14:paraId="1E43C6D5">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收集课题申报书</w:t>
            </w:r>
          </w:p>
        </w:tc>
        <w:tc>
          <w:tcPr>
            <w:tcW w:w="1900" w:type="dxa"/>
            <w:vMerge w:val="continue"/>
            <w:tcBorders>
              <w:left w:val="nil"/>
              <w:bottom w:val="single" w:color="auto" w:sz="4" w:space="0"/>
              <w:right w:val="single" w:color="auto" w:sz="4" w:space="0"/>
            </w:tcBorders>
            <w:shd w:val="clear" w:color="auto" w:fill="auto"/>
            <w:vAlign w:val="center"/>
          </w:tcPr>
          <w:p w14:paraId="089D7C4D">
            <w:pPr>
              <w:widowControl/>
              <w:spacing w:line="360" w:lineRule="auto"/>
              <w:jc w:val="center"/>
              <w:rPr>
                <w:rFonts w:ascii="仿宋_GB2312" w:hAnsi="仿宋" w:eastAsia="仿宋_GB2312" w:cs="宋体"/>
                <w:kern w:val="0"/>
                <w:sz w:val="22"/>
              </w:rPr>
            </w:pPr>
          </w:p>
        </w:tc>
      </w:tr>
      <w:tr w14:paraId="32838BC7">
        <w:tblPrEx>
          <w:tblCellMar>
            <w:top w:w="0" w:type="dxa"/>
            <w:left w:w="108" w:type="dxa"/>
            <w:bottom w:w="0" w:type="dxa"/>
            <w:right w:w="108" w:type="dxa"/>
          </w:tblCellMar>
        </w:tblPrEx>
        <w:trPr>
          <w:trHeight w:val="270" w:hRule="atLeast"/>
          <w:jc w:val="center"/>
        </w:trPr>
        <w:tc>
          <w:tcPr>
            <w:tcW w:w="764" w:type="dxa"/>
            <w:vMerge w:val="restart"/>
            <w:tcBorders>
              <w:top w:val="nil"/>
              <w:left w:val="single" w:color="auto" w:sz="4" w:space="0"/>
              <w:bottom w:val="single" w:color="000000" w:sz="4" w:space="0"/>
              <w:right w:val="single" w:color="auto" w:sz="4" w:space="0"/>
            </w:tcBorders>
            <w:shd w:val="clear" w:color="auto" w:fill="auto"/>
            <w:vAlign w:val="center"/>
          </w:tcPr>
          <w:p w14:paraId="782A820D">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3</w:t>
            </w:r>
          </w:p>
        </w:tc>
        <w:tc>
          <w:tcPr>
            <w:tcW w:w="1236" w:type="dxa"/>
            <w:vMerge w:val="restart"/>
            <w:tcBorders>
              <w:top w:val="nil"/>
              <w:left w:val="single" w:color="auto" w:sz="4" w:space="0"/>
              <w:bottom w:val="single" w:color="auto" w:sz="4" w:space="0"/>
              <w:right w:val="single" w:color="auto" w:sz="4" w:space="0"/>
            </w:tcBorders>
            <w:shd w:val="clear" w:color="auto" w:fill="auto"/>
            <w:vAlign w:val="center"/>
          </w:tcPr>
          <w:p w14:paraId="3B77353B">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课题立项</w:t>
            </w:r>
          </w:p>
        </w:tc>
        <w:tc>
          <w:tcPr>
            <w:tcW w:w="3580" w:type="dxa"/>
            <w:tcBorders>
              <w:top w:val="nil"/>
              <w:left w:val="nil"/>
              <w:bottom w:val="single" w:color="auto" w:sz="4" w:space="0"/>
              <w:right w:val="single" w:color="auto" w:sz="4" w:space="0"/>
            </w:tcBorders>
            <w:shd w:val="clear" w:color="auto" w:fill="auto"/>
            <w:vAlign w:val="center"/>
          </w:tcPr>
          <w:p w14:paraId="571271E5">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组织课题立项评审</w:t>
            </w:r>
          </w:p>
        </w:tc>
        <w:tc>
          <w:tcPr>
            <w:tcW w:w="1900" w:type="dxa"/>
            <w:vMerge w:val="restart"/>
            <w:tcBorders>
              <w:top w:val="nil"/>
              <w:left w:val="nil"/>
              <w:right w:val="single" w:color="auto" w:sz="4" w:space="0"/>
            </w:tcBorders>
            <w:shd w:val="clear" w:color="auto" w:fill="auto"/>
            <w:vAlign w:val="center"/>
          </w:tcPr>
          <w:p w14:paraId="5E4D7B4C">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202</w:t>
            </w:r>
            <w:r>
              <w:rPr>
                <w:rFonts w:hint="eastAsia" w:ascii="仿宋_GB2312" w:hAnsi="仿宋" w:eastAsia="仿宋_GB2312" w:cs="宋体"/>
                <w:kern w:val="0"/>
                <w:sz w:val="22"/>
                <w:lang w:val="en-US" w:eastAsia="zh-CN"/>
              </w:rPr>
              <w:t>5</w:t>
            </w:r>
            <w:r>
              <w:rPr>
                <w:rFonts w:hint="eastAsia" w:ascii="仿宋_GB2312" w:hAnsi="仿宋" w:eastAsia="仿宋_GB2312" w:cs="宋体"/>
                <w:kern w:val="0"/>
                <w:sz w:val="22"/>
              </w:rPr>
              <w:t>年</w:t>
            </w:r>
            <w:r>
              <w:rPr>
                <w:rFonts w:hint="eastAsia" w:ascii="仿宋_GB2312" w:hAnsi="仿宋" w:eastAsia="仿宋_GB2312" w:cs="宋体"/>
                <w:kern w:val="0"/>
                <w:sz w:val="22"/>
                <w:lang w:val="en-US" w:eastAsia="zh-CN"/>
              </w:rPr>
              <w:t>9</w:t>
            </w:r>
            <w:r>
              <w:rPr>
                <w:rFonts w:hint="eastAsia" w:ascii="仿宋_GB2312" w:hAnsi="仿宋" w:eastAsia="仿宋_GB2312" w:cs="宋体"/>
                <w:kern w:val="0"/>
                <w:sz w:val="22"/>
              </w:rPr>
              <w:t>月</w:t>
            </w:r>
          </w:p>
        </w:tc>
      </w:tr>
      <w:tr w14:paraId="5A51DD78">
        <w:tblPrEx>
          <w:tblCellMar>
            <w:top w:w="0" w:type="dxa"/>
            <w:left w:w="108" w:type="dxa"/>
            <w:bottom w:w="0" w:type="dxa"/>
            <w:right w:w="108" w:type="dxa"/>
          </w:tblCellMar>
        </w:tblPrEx>
        <w:trPr>
          <w:trHeight w:val="270" w:hRule="atLeast"/>
          <w:jc w:val="center"/>
        </w:trPr>
        <w:tc>
          <w:tcPr>
            <w:tcW w:w="764" w:type="dxa"/>
            <w:vMerge w:val="continue"/>
            <w:tcBorders>
              <w:top w:val="nil"/>
              <w:left w:val="single" w:color="auto" w:sz="4" w:space="0"/>
              <w:bottom w:val="single" w:color="000000" w:sz="4" w:space="0"/>
              <w:right w:val="single" w:color="auto" w:sz="4" w:space="0"/>
            </w:tcBorders>
            <w:shd w:val="clear" w:color="auto" w:fill="auto"/>
            <w:vAlign w:val="center"/>
          </w:tcPr>
          <w:p w14:paraId="67FA4A28">
            <w:pPr>
              <w:widowControl/>
              <w:spacing w:line="360" w:lineRule="auto"/>
              <w:jc w:val="center"/>
              <w:rPr>
                <w:rFonts w:ascii="仿宋_GB2312" w:hAnsi="仿宋" w:eastAsia="仿宋_GB2312" w:cs="宋体"/>
                <w:kern w:val="0"/>
                <w:sz w:val="22"/>
              </w:rPr>
            </w:pPr>
          </w:p>
        </w:tc>
        <w:tc>
          <w:tcPr>
            <w:tcW w:w="1236" w:type="dxa"/>
            <w:vMerge w:val="continue"/>
            <w:tcBorders>
              <w:top w:val="nil"/>
              <w:left w:val="single" w:color="auto" w:sz="4" w:space="0"/>
              <w:bottom w:val="single" w:color="auto" w:sz="4" w:space="0"/>
              <w:right w:val="single" w:color="auto" w:sz="4" w:space="0"/>
            </w:tcBorders>
            <w:shd w:val="clear" w:color="auto" w:fill="auto"/>
            <w:vAlign w:val="center"/>
          </w:tcPr>
          <w:p w14:paraId="08DE38E8">
            <w:pPr>
              <w:widowControl/>
              <w:spacing w:line="360" w:lineRule="auto"/>
              <w:jc w:val="center"/>
              <w:rPr>
                <w:rFonts w:ascii="仿宋_GB2312" w:hAnsi="仿宋" w:eastAsia="仿宋_GB2312" w:cs="宋体"/>
                <w:kern w:val="0"/>
                <w:sz w:val="22"/>
              </w:rPr>
            </w:pPr>
          </w:p>
        </w:tc>
        <w:tc>
          <w:tcPr>
            <w:tcW w:w="3580" w:type="dxa"/>
            <w:tcBorders>
              <w:top w:val="nil"/>
              <w:left w:val="nil"/>
              <w:bottom w:val="single" w:color="auto" w:sz="4" w:space="0"/>
              <w:right w:val="single" w:color="auto" w:sz="4" w:space="0"/>
            </w:tcBorders>
            <w:shd w:val="clear" w:color="auto" w:fill="auto"/>
            <w:vAlign w:val="center"/>
          </w:tcPr>
          <w:p w14:paraId="196B592A">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确定研究课题</w:t>
            </w:r>
          </w:p>
        </w:tc>
        <w:tc>
          <w:tcPr>
            <w:tcW w:w="1900" w:type="dxa"/>
            <w:vMerge w:val="continue"/>
            <w:tcBorders>
              <w:left w:val="nil"/>
              <w:bottom w:val="single" w:color="auto" w:sz="4" w:space="0"/>
              <w:right w:val="single" w:color="auto" w:sz="4" w:space="0"/>
            </w:tcBorders>
            <w:shd w:val="clear" w:color="auto" w:fill="auto"/>
            <w:vAlign w:val="center"/>
          </w:tcPr>
          <w:p w14:paraId="508AD9F0">
            <w:pPr>
              <w:widowControl/>
              <w:spacing w:line="360" w:lineRule="auto"/>
              <w:jc w:val="center"/>
              <w:rPr>
                <w:rFonts w:ascii="仿宋_GB2312" w:hAnsi="仿宋" w:eastAsia="仿宋_GB2312" w:cs="宋体"/>
                <w:kern w:val="0"/>
                <w:sz w:val="22"/>
              </w:rPr>
            </w:pPr>
          </w:p>
        </w:tc>
      </w:tr>
      <w:tr w14:paraId="07BE97D8">
        <w:tblPrEx>
          <w:tblCellMar>
            <w:top w:w="0" w:type="dxa"/>
            <w:left w:w="108" w:type="dxa"/>
            <w:bottom w:w="0" w:type="dxa"/>
            <w:right w:w="108" w:type="dxa"/>
          </w:tblCellMar>
        </w:tblPrEx>
        <w:trPr>
          <w:trHeight w:val="270" w:hRule="atLeast"/>
          <w:jc w:val="center"/>
        </w:trPr>
        <w:tc>
          <w:tcPr>
            <w:tcW w:w="764" w:type="dxa"/>
            <w:vMerge w:val="restart"/>
            <w:tcBorders>
              <w:top w:val="nil"/>
              <w:left w:val="single" w:color="auto" w:sz="4" w:space="0"/>
              <w:right w:val="single" w:color="auto" w:sz="4" w:space="0"/>
            </w:tcBorders>
            <w:shd w:val="clear" w:color="auto" w:fill="auto"/>
            <w:vAlign w:val="center"/>
          </w:tcPr>
          <w:p w14:paraId="380130F6">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4</w:t>
            </w:r>
          </w:p>
        </w:tc>
        <w:tc>
          <w:tcPr>
            <w:tcW w:w="1236" w:type="dxa"/>
            <w:vMerge w:val="restart"/>
            <w:tcBorders>
              <w:top w:val="nil"/>
              <w:left w:val="single" w:color="auto" w:sz="4" w:space="0"/>
              <w:right w:val="single" w:color="auto" w:sz="4" w:space="0"/>
            </w:tcBorders>
            <w:shd w:val="clear" w:color="auto" w:fill="auto"/>
            <w:vAlign w:val="center"/>
          </w:tcPr>
          <w:p w14:paraId="15C1F1AD">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课题实施</w:t>
            </w:r>
          </w:p>
        </w:tc>
        <w:tc>
          <w:tcPr>
            <w:tcW w:w="3580" w:type="dxa"/>
            <w:tcBorders>
              <w:top w:val="nil"/>
              <w:left w:val="nil"/>
              <w:bottom w:val="single" w:color="auto" w:sz="4" w:space="0"/>
              <w:right w:val="single" w:color="auto" w:sz="4" w:space="0"/>
            </w:tcBorders>
            <w:shd w:val="clear" w:color="auto" w:fill="auto"/>
            <w:vAlign w:val="center"/>
          </w:tcPr>
          <w:p w14:paraId="39851790">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组织课题中期汇报</w:t>
            </w:r>
          </w:p>
        </w:tc>
        <w:tc>
          <w:tcPr>
            <w:tcW w:w="1900" w:type="dxa"/>
            <w:vMerge w:val="restart"/>
            <w:tcBorders>
              <w:top w:val="nil"/>
              <w:left w:val="single" w:color="auto" w:sz="4" w:space="0"/>
              <w:right w:val="single" w:color="auto" w:sz="4" w:space="0"/>
            </w:tcBorders>
            <w:shd w:val="clear" w:color="auto" w:fill="auto"/>
            <w:vAlign w:val="center"/>
          </w:tcPr>
          <w:p w14:paraId="47CEFBB8">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202</w:t>
            </w:r>
            <w:r>
              <w:rPr>
                <w:rFonts w:hint="eastAsia" w:ascii="仿宋_GB2312" w:hAnsi="仿宋" w:eastAsia="仿宋_GB2312" w:cs="宋体"/>
                <w:kern w:val="0"/>
                <w:sz w:val="22"/>
                <w:lang w:val="en-US" w:eastAsia="zh-CN"/>
              </w:rPr>
              <w:t>5</w:t>
            </w:r>
            <w:r>
              <w:rPr>
                <w:rFonts w:hint="eastAsia" w:ascii="仿宋_GB2312" w:hAnsi="仿宋" w:eastAsia="仿宋_GB2312" w:cs="宋体"/>
                <w:kern w:val="0"/>
                <w:sz w:val="22"/>
              </w:rPr>
              <w:t>年</w:t>
            </w:r>
            <w:r>
              <w:rPr>
                <w:rFonts w:hint="eastAsia" w:ascii="仿宋_GB2312" w:hAnsi="仿宋" w:eastAsia="仿宋_GB2312" w:cs="宋体"/>
                <w:kern w:val="0"/>
                <w:sz w:val="22"/>
                <w:lang w:val="en-US" w:eastAsia="zh-CN"/>
              </w:rPr>
              <w:t>9</w:t>
            </w:r>
            <w:r>
              <w:rPr>
                <w:rFonts w:hint="eastAsia" w:ascii="仿宋_GB2312" w:hAnsi="仿宋" w:eastAsia="仿宋_GB2312" w:cs="宋体"/>
                <w:kern w:val="0"/>
                <w:sz w:val="22"/>
              </w:rPr>
              <w:t>月-202</w:t>
            </w:r>
            <w:r>
              <w:rPr>
                <w:rFonts w:hint="eastAsia" w:ascii="仿宋_GB2312" w:hAnsi="仿宋" w:eastAsia="仿宋_GB2312" w:cs="宋体"/>
                <w:kern w:val="0"/>
                <w:sz w:val="22"/>
                <w:lang w:val="en-US" w:eastAsia="zh-CN"/>
              </w:rPr>
              <w:t>6</w:t>
            </w:r>
            <w:r>
              <w:rPr>
                <w:rFonts w:hint="eastAsia" w:ascii="仿宋_GB2312" w:hAnsi="仿宋" w:eastAsia="仿宋_GB2312" w:cs="宋体"/>
                <w:kern w:val="0"/>
                <w:sz w:val="22"/>
              </w:rPr>
              <w:t>年</w:t>
            </w:r>
            <w:r>
              <w:rPr>
                <w:rFonts w:hint="eastAsia" w:ascii="仿宋_GB2312" w:hAnsi="仿宋" w:eastAsia="仿宋_GB2312" w:cs="宋体"/>
                <w:kern w:val="0"/>
                <w:sz w:val="22"/>
                <w:lang w:val="en-US" w:eastAsia="zh-CN"/>
              </w:rPr>
              <w:t>5</w:t>
            </w:r>
            <w:r>
              <w:rPr>
                <w:rFonts w:hint="eastAsia" w:ascii="仿宋_GB2312" w:hAnsi="仿宋" w:eastAsia="仿宋_GB2312" w:cs="宋体"/>
                <w:kern w:val="0"/>
                <w:sz w:val="22"/>
              </w:rPr>
              <w:t>月</w:t>
            </w:r>
          </w:p>
        </w:tc>
      </w:tr>
      <w:tr w14:paraId="773D18AE">
        <w:tblPrEx>
          <w:tblCellMar>
            <w:top w:w="0" w:type="dxa"/>
            <w:left w:w="108" w:type="dxa"/>
            <w:bottom w:w="0" w:type="dxa"/>
            <w:right w:w="108" w:type="dxa"/>
          </w:tblCellMar>
        </w:tblPrEx>
        <w:trPr>
          <w:trHeight w:val="270" w:hRule="atLeast"/>
          <w:jc w:val="center"/>
        </w:trPr>
        <w:tc>
          <w:tcPr>
            <w:tcW w:w="764" w:type="dxa"/>
            <w:vMerge w:val="continue"/>
            <w:tcBorders>
              <w:left w:val="single" w:color="auto" w:sz="4" w:space="0"/>
              <w:bottom w:val="single" w:color="000000" w:sz="4" w:space="0"/>
              <w:right w:val="single" w:color="auto" w:sz="4" w:space="0"/>
            </w:tcBorders>
            <w:vAlign w:val="center"/>
          </w:tcPr>
          <w:p w14:paraId="1DE8AE68">
            <w:pPr>
              <w:widowControl/>
              <w:spacing w:line="360" w:lineRule="auto"/>
              <w:jc w:val="left"/>
              <w:rPr>
                <w:rFonts w:ascii="仿宋_GB2312" w:hAnsi="仿宋" w:eastAsia="仿宋_GB2312" w:cs="宋体"/>
                <w:kern w:val="0"/>
                <w:sz w:val="22"/>
              </w:rPr>
            </w:pPr>
          </w:p>
        </w:tc>
        <w:tc>
          <w:tcPr>
            <w:tcW w:w="1236" w:type="dxa"/>
            <w:vMerge w:val="continue"/>
            <w:tcBorders>
              <w:left w:val="single" w:color="auto" w:sz="4" w:space="0"/>
              <w:bottom w:val="single" w:color="auto" w:sz="4" w:space="0"/>
              <w:right w:val="single" w:color="auto" w:sz="4" w:space="0"/>
            </w:tcBorders>
            <w:vAlign w:val="center"/>
          </w:tcPr>
          <w:p w14:paraId="26D0A51D">
            <w:pPr>
              <w:widowControl/>
              <w:spacing w:line="360" w:lineRule="auto"/>
              <w:jc w:val="left"/>
              <w:rPr>
                <w:rFonts w:ascii="仿宋_GB2312" w:hAnsi="仿宋" w:eastAsia="仿宋_GB2312" w:cs="宋体"/>
                <w:kern w:val="0"/>
                <w:sz w:val="22"/>
              </w:rPr>
            </w:pPr>
          </w:p>
        </w:tc>
        <w:tc>
          <w:tcPr>
            <w:tcW w:w="3580" w:type="dxa"/>
            <w:tcBorders>
              <w:top w:val="nil"/>
              <w:left w:val="nil"/>
              <w:bottom w:val="single" w:color="auto" w:sz="4" w:space="0"/>
              <w:right w:val="single" w:color="auto" w:sz="4" w:space="0"/>
            </w:tcBorders>
            <w:shd w:val="clear" w:color="auto" w:fill="auto"/>
            <w:vAlign w:val="center"/>
          </w:tcPr>
          <w:p w14:paraId="4314754D">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课题变更或终止（若有）</w:t>
            </w:r>
          </w:p>
        </w:tc>
        <w:tc>
          <w:tcPr>
            <w:tcW w:w="1900" w:type="dxa"/>
            <w:vMerge w:val="continue"/>
            <w:tcBorders>
              <w:left w:val="single" w:color="auto" w:sz="4" w:space="0"/>
              <w:bottom w:val="single" w:color="auto" w:sz="4" w:space="0"/>
              <w:right w:val="single" w:color="auto" w:sz="4" w:space="0"/>
            </w:tcBorders>
            <w:vAlign w:val="center"/>
          </w:tcPr>
          <w:p w14:paraId="388702F1">
            <w:pPr>
              <w:widowControl/>
              <w:spacing w:line="360" w:lineRule="auto"/>
              <w:jc w:val="left"/>
              <w:rPr>
                <w:rFonts w:ascii="仿宋_GB2312" w:hAnsi="仿宋" w:eastAsia="仿宋_GB2312" w:cs="宋体"/>
                <w:kern w:val="0"/>
                <w:sz w:val="22"/>
              </w:rPr>
            </w:pPr>
          </w:p>
        </w:tc>
      </w:tr>
      <w:tr w14:paraId="70FF6761">
        <w:tblPrEx>
          <w:tblCellMar>
            <w:top w:w="0" w:type="dxa"/>
            <w:left w:w="108" w:type="dxa"/>
            <w:bottom w:w="0" w:type="dxa"/>
            <w:right w:w="108" w:type="dxa"/>
          </w:tblCellMar>
        </w:tblPrEx>
        <w:trPr>
          <w:trHeight w:val="270" w:hRule="atLeast"/>
          <w:jc w:val="center"/>
        </w:trPr>
        <w:tc>
          <w:tcPr>
            <w:tcW w:w="764" w:type="dxa"/>
            <w:vMerge w:val="restart"/>
            <w:tcBorders>
              <w:top w:val="nil"/>
              <w:left w:val="single" w:color="auto" w:sz="4" w:space="0"/>
              <w:bottom w:val="single" w:color="000000" w:sz="4" w:space="0"/>
              <w:right w:val="single" w:color="auto" w:sz="4" w:space="0"/>
            </w:tcBorders>
            <w:shd w:val="clear" w:color="auto" w:fill="auto"/>
            <w:vAlign w:val="center"/>
          </w:tcPr>
          <w:p w14:paraId="22A3F310">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5</w:t>
            </w:r>
          </w:p>
        </w:tc>
        <w:tc>
          <w:tcPr>
            <w:tcW w:w="1236" w:type="dxa"/>
            <w:vMerge w:val="restart"/>
            <w:tcBorders>
              <w:top w:val="nil"/>
              <w:left w:val="single" w:color="auto" w:sz="4" w:space="0"/>
              <w:bottom w:val="single" w:color="auto" w:sz="4" w:space="0"/>
              <w:right w:val="single" w:color="auto" w:sz="4" w:space="0"/>
            </w:tcBorders>
            <w:shd w:val="clear" w:color="auto" w:fill="auto"/>
            <w:vAlign w:val="center"/>
          </w:tcPr>
          <w:p w14:paraId="46AB73F8">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课题结题</w:t>
            </w:r>
          </w:p>
        </w:tc>
        <w:tc>
          <w:tcPr>
            <w:tcW w:w="3580" w:type="dxa"/>
            <w:tcBorders>
              <w:top w:val="nil"/>
              <w:left w:val="nil"/>
              <w:bottom w:val="single" w:color="auto" w:sz="4" w:space="0"/>
              <w:right w:val="single" w:color="auto" w:sz="4" w:space="0"/>
            </w:tcBorders>
            <w:shd w:val="clear" w:color="auto" w:fill="auto"/>
            <w:vAlign w:val="center"/>
          </w:tcPr>
          <w:p w14:paraId="06EC5E08">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收集课题结题报告</w:t>
            </w:r>
          </w:p>
        </w:tc>
        <w:tc>
          <w:tcPr>
            <w:tcW w:w="1900" w:type="dxa"/>
            <w:tcBorders>
              <w:top w:val="nil"/>
              <w:left w:val="nil"/>
              <w:bottom w:val="single" w:color="auto" w:sz="4" w:space="0"/>
              <w:right w:val="single" w:color="auto" w:sz="4" w:space="0"/>
            </w:tcBorders>
            <w:shd w:val="clear" w:color="auto" w:fill="auto"/>
            <w:vAlign w:val="center"/>
          </w:tcPr>
          <w:p w14:paraId="21366B66">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202</w:t>
            </w:r>
            <w:r>
              <w:rPr>
                <w:rFonts w:hint="eastAsia" w:ascii="仿宋_GB2312" w:hAnsi="仿宋" w:eastAsia="仿宋_GB2312" w:cs="宋体"/>
                <w:kern w:val="0"/>
                <w:sz w:val="22"/>
                <w:lang w:val="en-US" w:eastAsia="zh-CN"/>
              </w:rPr>
              <w:t>6</w:t>
            </w:r>
            <w:r>
              <w:rPr>
                <w:rFonts w:hint="eastAsia" w:ascii="仿宋_GB2312" w:hAnsi="仿宋" w:eastAsia="仿宋_GB2312" w:cs="宋体"/>
                <w:kern w:val="0"/>
                <w:sz w:val="22"/>
              </w:rPr>
              <w:t>年</w:t>
            </w:r>
            <w:r>
              <w:rPr>
                <w:rFonts w:hint="eastAsia" w:ascii="仿宋_GB2312" w:hAnsi="仿宋" w:eastAsia="仿宋_GB2312" w:cs="宋体"/>
                <w:kern w:val="0"/>
                <w:sz w:val="22"/>
                <w:lang w:val="en-US" w:eastAsia="zh-CN"/>
              </w:rPr>
              <w:t>6</w:t>
            </w:r>
            <w:r>
              <w:rPr>
                <w:rFonts w:hint="eastAsia" w:ascii="仿宋_GB2312" w:hAnsi="仿宋" w:eastAsia="仿宋_GB2312" w:cs="宋体"/>
                <w:kern w:val="0"/>
                <w:sz w:val="22"/>
              </w:rPr>
              <w:t>月</w:t>
            </w:r>
          </w:p>
        </w:tc>
      </w:tr>
      <w:tr w14:paraId="78F597E6">
        <w:tblPrEx>
          <w:tblCellMar>
            <w:top w:w="0" w:type="dxa"/>
            <w:left w:w="108" w:type="dxa"/>
            <w:bottom w:w="0" w:type="dxa"/>
            <w:right w:w="108" w:type="dxa"/>
          </w:tblCellMar>
        </w:tblPrEx>
        <w:trPr>
          <w:trHeight w:val="27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14:paraId="2B003A29">
            <w:pPr>
              <w:widowControl/>
              <w:spacing w:line="360" w:lineRule="auto"/>
              <w:jc w:val="left"/>
              <w:rPr>
                <w:rFonts w:ascii="仿宋_GB2312" w:hAnsi="仿宋" w:eastAsia="仿宋_GB2312" w:cs="宋体"/>
                <w:kern w:val="0"/>
                <w:sz w:val="22"/>
              </w:rPr>
            </w:pPr>
          </w:p>
        </w:tc>
        <w:tc>
          <w:tcPr>
            <w:tcW w:w="1236" w:type="dxa"/>
            <w:vMerge w:val="continue"/>
            <w:tcBorders>
              <w:top w:val="nil"/>
              <w:left w:val="single" w:color="auto" w:sz="4" w:space="0"/>
              <w:bottom w:val="single" w:color="auto" w:sz="4" w:space="0"/>
              <w:right w:val="single" w:color="auto" w:sz="4" w:space="0"/>
            </w:tcBorders>
            <w:vAlign w:val="center"/>
          </w:tcPr>
          <w:p w14:paraId="3EFA6E40">
            <w:pPr>
              <w:widowControl/>
              <w:spacing w:line="360" w:lineRule="auto"/>
              <w:jc w:val="left"/>
              <w:rPr>
                <w:rFonts w:ascii="仿宋_GB2312" w:hAnsi="仿宋" w:eastAsia="仿宋_GB2312" w:cs="宋体"/>
                <w:kern w:val="0"/>
                <w:sz w:val="22"/>
              </w:rPr>
            </w:pPr>
          </w:p>
        </w:tc>
        <w:tc>
          <w:tcPr>
            <w:tcW w:w="3580" w:type="dxa"/>
            <w:tcBorders>
              <w:top w:val="nil"/>
              <w:left w:val="nil"/>
              <w:bottom w:val="single" w:color="auto" w:sz="4" w:space="0"/>
              <w:right w:val="single" w:color="auto" w:sz="4" w:space="0"/>
            </w:tcBorders>
            <w:shd w:val="clear" w:color="auto" w:fill="auto"/>
            <w:vAlign w:val="center"/>
          </w:tcPr>
          <w:p w14:paraId="090D955C">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组织课题结题评审会</w:t>
            </w:r>
            <w:bookmarkStart w:id="0" w:name="_GoBack"/>
            <w:bookmarkEnd w:id="0"/>
          </w:p>
        </w:tc>
        <w:tc>
          <w:tcPr>
            <w:tcW w:w="1900" w:type="dxa"/>
            <w:vMerge w:val="restart"/>
            <w:tcBorders>
              <w:top w:val="nil"/>
              <w:left w:val="nil"/>
              <w:right w:val="single" w:color="auto" w:sz="4" w:space="0"/>
            </w:tcBorders>
            <w:shd w:val="clear" w:color="auto" w:fill="auto"/>
            <w:vAlign w:val="center"/>
          </w:tcPr>
          <w:p w14:paraId="63766C1A">
            <w:pPr>
              <w:widowControl/>
              <w:spacing w:line="360" w:lineRule="auto"/>
              <w:jc w:val="center"/>
              <w:rPr>
                <w:rFonts w:ascii="仿宋_GB2312" w:hAnsi="仿宋" w:eastAsia="仿宋_GB2312" w:cs="宋体"/>
                <w:kern w:val="0"/>
                <w:sz w:val="22"/>
              </w:rPr>
            </w:pPr>
            <w:r>
              <w:rPr>
                <w:rFonts w:hint="eastAsia" w:ascii="仿宋_GB2312" w:hAnsi="仿宋" w:eastAsia="仿宋_GB2312" w:cs="宋体"/>
                <w:kern w:val="0"/>
                <w:sz w:val="22"/>
              </w:rPr>
              <w:t>202</w:t>
            </w:r>
            <w:r>
              <w:rPr>
                <w:rFonts w:hint="eastAsia" w:ascii="仿宋_GB2312" w:hAnsi="仿宋" w:eastAsia="仿宋_GB2312" w:cs="宋体"/>
                <w:kern w:val="0"/>
                <w:sz w:val="22"/>
                <w:lang w:val="en-US" w:eastAsia="zh-CN"/>
              </w:rPr>
              <w:t>6</w:t>
            </w:r>
            <w:r>
              <w:rPr>
                <w:rFonts w:hint="eastAsia" w:ascii="仿宋_GB2312" w:hAnsi="仿宋" w:eastAsia="仿宋_GB2312" w:cs="宋体"/>
                <w:kern w:val="0"/>
                <w:sz w:val="22"/>
              </w:rPr>
              <w:t>年</w:t>
            </w:r>
            <w:r>
              <w:rPr>
                <w:rFonts w:hint="eastAsia" w:ascii="仿宋_GB2312" w:hAnsi="仿宋" w:eastAsia="仿宋_GB2312" w:cs="宋体"/>
                <w:kern w:val="0"/>
                <w:sz w:val="22"/>
                <w:lang w:val="en-US" w:eastAsia="zh-CN"/>
              </w:rPr>
              <w:t>7</w:t>
            </w:r>
            <w:r>
              <w:rPr>
                <w:rFonts w:hint="eastAsia" w:ascii="仿宋_GB2312" w:hAnsi="仿宋" w:eastAsia="仿宋_GB2312" w:cs="宋体"/>
                <w:kern w:val="0"/>
                <w:sz w:val="22"/>
              </w:rPr>
              <w:t>月</w:t>
            </w:r>
          </w:p>
        </w:tc>
      </w:tr>
      <w:tr w14:paraId="0649AD9D">
        <w:tblPrEx>
          <w:tblCellMar>
            <w:top w:w="0" w:type="dxa"/>
            <w:left w:w="108" w:type="dxa"/>
            <w:bottom w:w="0" w:type="dxa"/>
            <w:right w:w="108" w:type="dxa"/>
          </w:tblCellMar>
        </w:tblPrEx>
        <w:trPr>
          <w:trHeight w:val="270" w:hRule="atLeast"/>
          <w:jc w:val="center"/>
        </w:trPr>
        <w:tc>
          <w:tcPr>
            <w:tcW w:w="764" w:type="dxa"/>
            <w:vMerge w:val="continue"/>
            <w:tcBorders>
              <w:top w:val="nil"/>
              <w:left w:val="single" w:color="auto" w:sz="4" w:space="0"/>
              <w:bottom w:val="single" w:color="auto" w:sz="4" w:space="0"/>
              <w:right w:val="single" w:color="auto" w:sz="4" w:space="0"/>
            </w:tcBorders>
            <w:vAlign w:val="center"/>
          </w:tcPr>
          <w:p w14:paraId="78D405AA">
            <w:pPr>
              <w:widowControl/>
              <w:spacing w:line="360" w:lineRule="auto"/>
              <w:jc w:val="left"/>
              <w:rPr>
                <w:rFonts w:ascii="仿宋_GB2312" w:hAnsi="仿宋" w:eastAsia="仿宋_GB2312" w:cs="宋体"/>
                <w:kern w:val="0"/>
                <w:sz w:val="22"/>
              </w:rPr>
            </w:pPr>
          </w:p>
        </w:tc>
        <w:tc>
          <w:tcPr>
            <w:tcW w:w="1236" w:type="dxa"/>
            <w:vMerge w:val="continue"/>
            <w:tcBorders>
              <w:top w:val="nil"/>
              <w:left w:val="single" w:color="auto" w:sz="4" w:space="0"/>
              <w:bottom w:val="single" w:color="auto" w:sz="4" w:space="0"/>
              <w:right w:val="single" w:color="auto" w:sz="4" w:space="0"/>
            </w:tcBorders>
            <w:vAlign w:val="center"/>
          </w:tcPr>
          <w:p w14:paraId="4C00E116">
            <w:pPr>
              <w:widowControl/>
              <w:spacing w:line="360" w:lineRule="auto"/>
              <w:jc w:val="left"/>
              <w:rPr>
                <w:rFonts w:ascii="仿宋_GB2312" w:hAnsi="仿宋" w:eastAsia="仿宋_GB2312" w:cs="宋体"/>
                <w:kern w:val="0"/>
                <w:sz w:val="22"/>
              </w:rPr>
            </w:pPr>
          </w:p>
        </w:tc>
        <w:tc>
          <w:tcPr>
            <w:tcW w:w="3580" w:type="dxa"/>
            <w:tcBorders>
              <w:top w:val="nil"/>
              <w:left w:val="nil"/>
              <w:bottom w:val="single" w:color="auto" w:sz="4" w:space="0"/>
              <w:right w:val="single" w:color="auto" w:sz="4" w:space="0"/>
            </w:tcBorders>
            <w:shd w:val="clear" w:color="auto" w:fill="auto"/>
            <w:vAlign w:val="center"/>
          </w:tcPr>
          <w:p w14:paraId="1629D6D1">
            <w:pPr>
              <w:widowControl/>
              <w:spacing w:line="360" w:lineRule="auto"/>
              <w:jc w:val="left"/>
              <w:rPr>
                <w:rFonts w:ascii="仿宋_GB2312" w:hAnsi="仿宋" w:eastAsia="仿宋_GB2312" w:cs="宋体"/>
                <w:kern w:val="0"/>
                <w:sz w:val="22"/>
              </w:rPr>
            </w:pPr>
            <w:r>
              <w:rPr>
                <w:rFonts w:hint="eastAsia" w:ascii="仿宋_GB2312" w:hAnsi="仿宋" w:eastAsia="仿宋_GB2312" w:cs="宋体"/>
                <w:kern w:val="0"/>
                <w:sz w:val="22"/>
              </w:rPr>
              <w:t>通知课题结果，颁布结题证书</w:t>
            </w:r>
          </w:p>
        </w:tc>
        <w:tc>
          <w:tcPr>
            <w:tcW w:w="1900" w:type="dxa"/>
            <w:vMerge w:val="continue"/>
            <w:tcBorders>
              <w:left w:val="nil"/>
              <w:bottom w:val="single" w:color="auto" w:sz="4" w:space="0"/>
              <w:right w:val="single" w:color="auto" w:sz="4" w:space="0"/>
            </w:tcBorders>
            <w:shd w:val="clear" w:color="auto" w:fill="auto"/>
            <w:vAlign w:val="center"/>
          </w:tcPr>
          <w:p w14:paraId="0F48E0F1">
            <w:pPr>
              <w:widowControl/>
              <w:spacing w:line="360" w:lineRule="auto"/>
              <w:jc w:val="center"/>
              <w:rPr>
                <w:rFonts w:ascii="仿宋_GB2312" w:hAnsi="仿宋" w:eastAsia="仿宋_GB2312" w:cs="宋体"/>
                <w:kern w:val="0"/>
                <w:sz w:val="22"/>
              </w:rPr>
            </w:pPr>
          </w:p>
        </w:tc>
      </w:tr>
    </w:tbl>
    <w:p w14:paraId="0523A7B5">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zMjcyNzRjYjU5ZWY2YjBiMjY3ZjRhOGUxZWZiY2EifQ=="/>
  </w:docVars>
  <w:rsids>
    <w:rsidRoot w:val="00251C5D"/>
    <w:rsid w:val="00017D8F"/>
    <w:rsid w:val="00123177"/>
    <w:rsid w:val="001F6610"/>
    <w:rsid w:val="00251C5D"/>
    <w:rsid w:val="00294EBD"/>
    <w:rsid w:val="00345907"/>
    <w:rsid w:val="00352506"/>
    <w:rsid w:val="003B1D02"/>
    <w:rsid w:val="003F1E38"/>
    <w:rsid w:val="00496D49"/>
    <w:rsid w:val="005A5D25"/>
    <w:rsid w:val="006E4952"/>
    <w:rsid w:val="0073217B"/>
    <w:rsid w:val="0074498D"/>
    <w:rsid w:val="007473B0"/>
    <w:rsid w:val="00994F68"/>
    <w:rsid w:val="00B8488B"/>
    <w:rsid w:val="00BE0364"/>
    <w:rsid w:val="00C24A1E"/>
    <w:rsid w:val="00E27ADC"/>
    <w:rsid w:val="02145BE3"/>
    <w:rsid w:val="1F801809"/>
    <w:rsid w:val="235514FC"/>
    <w:rsid w:val="26B707E7"/>
    <w:rsid w:val="49ED0232"/>
    <w:rsid w:val="50E2522C"/>
    <w:rsid w:val="5C116994"/>
    <w:rsid w:val="75223B88"/>
    <w:rsid w:val="77DB6C2E"/>
    <w:rsid w:val="8FF44D57"/>
    <w:rsid w:val="CEDF6552"/>
    <w:rsid w:val="FFDA7F51"/>
    <w:rsid w:val="FFF9B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902</Words>
  <Characters>935</Characters>
  <Lines>7</Lines>
  <Paragraphs>2</Paragraphs>
  <TotalTime>6</TotalTime>
  <ScaleCrop>false</ScaleCrop>
  <LinksUpToDate>false</LinksUpToDate>
  <CharactersWithSpaces>935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2019-08-21T09:43:00Z</dcterms:created>
  <dc:creator>dsware</dc:creator>
  <cp:lastModifiedBy>xinwang2</cp:lastModifiedBy>
  <dcterms:modified xsi:type="dcterms:W3CDTF">2025-08-22T13:51:48Z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BBC467B8EBBB4CF183E233300FFA3BBE</vt:lpwstr>
  </property>
</Properties>
</file>